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5FC4C" w14:textId="6EB82322" w:rsidR="005A6FF5" w:rsidRDefault="00D76A5F" w:rsidP="00D76A5F">
      <w:pPr>
        <w:pStyle w:val="Title"/>
      </w:pPr>
      <w:r>
        <w:t>Space Inter-Agency Communications</w:t>
      </w:r>
    </w:p>
    <w:p w14:paraId="05336AE3" w14:textId="3473CD59" w:rsidR="005A6FF5" w:rsidRDefault="00D76A5F" w:rsidP="005A6FF5">
      <w:r>
        <w:t xml:space="preserve">This document provides </w:t>
      </w:r>
      <w:r w:rsidR="005A6FF5">
        <w:t xml:space="preserve">information </w:t>
      </w:r>
      <w:r>
        <w:t>for the</w:t>
      </w:r>
      <w:r w:rsidR="005A6FF5">
        <w:t xml:space="preserve"> person </w:t>
      </w:r>
      <w:r>
        <w:t>responsible for</w:t>
      </w:r>
      <w:r w:rsidR="005A6FF5">
        <w:t xml:space="preserve"> Inter-agency liaison and communications.</w:t>
      </w:r>
    </w:p>
    <w:p w14:paraId="03CF2627" w14:textId="3A717446" w:rsidR="005A6FF5" w:rsidRDefault="00D76A5F" w:rsidP="00D76A5F">
      <w:pPr>
        <w:pStyle w:val="Heading1"/>
      </w:pPr>
      <w:r>
        <w:t>Parties you may need to communicate with</w:t>
      </w:r>
    </w:p>
    <w:p w14:paraId="3CF7687B" w14:textId="02B2C1C4" w:rsidR="005A6FF5" w:rsidRDefault="005A6FF5" w:rsidP="005A6FF5">
      <w:r>
        <w:t>The specific agencies and contacts</w:t>
      </w:r>
      <w:r w:rsidR="00D76A5F">
        <w:t xml:space="preserve"> who you need to work with</w:t>
      </w:r>
      <w:r>
        <w:t xml:space="preserve"> depend on the nature of the incident (civil, scientific, military, or commercial)</w:t>
      </w:r>
      <w:r w:rsidR="00D76A5F">
        <w:t>.  T</w:t>
      </w:r>
      <w:r>
        <w:t>he following entities are typically involved in the U.S. context:</w:t>
      </w:r>
    </w:p>
    <w:tbl>
      <w:tblPr>
        <w:tblStyle w:val="TableGrid"/>
        <w:tblW w:w="10525" w:type="dxa"/>
        <w:tblLook w:val="04A0" w:firstRow="1" w:lastRow="0" w:firstColumn="1" w:lastColumn="0" w:noHBand="0" w:noVBand="1"/>
      </w:tblPr>
      <w:tblGrid>
        <w:gridCol w:w="10525"/>
      </w:tblGrid>
      <w:tr w:rsidR="00D76A5F" w14:paraId="4499464F" w14:textId="77777777" w:rsidTr="00496865">
        <w:tc>
          <w:tcPr>
            <w:tcW w:w="10525" w:type="dxa"/>
            <w:shd w:val="clear" w:color="auto" w:fill="BFBFBF" w:themeFill="background1" w:themeFillShade="BF"/>
          </w:tcPr>
          <w:p w14:paraId="3D641C2A" w14:textId="26F1662D" w:rsidR="00D76A5F" w:rsidRDefault="00496865" w:rsidP="005A6FF5">
            <w:r>
              <w:t>PARTIES</w:t>
            </w:r>
          </w:p>
        </w:tc>
      </w:tr>
      <w:tr w:rsidR="00D76A5F" w14:paraId="5A201E3F" w14:textId="77777777" w:rsidTr="00496865">
        <w:tc>
          <w:tcPr>
            <w:tcW w:w="10525" w:type="dxa"/>
          </w:tcPr>
          <w:p w14:paraId="1A7B14B3" w14:textId="77777777" w:rsidR="00D76A5F" w:rsidRPr="00496865" w:rsidRDefault="00D76A5F" w:rsidP="00496865">
            <w:pPr>
              <w:rPr>
                <w:b/>
                <w:bCs/>
                <w:u w:val="single"/>
              </w:rPr>
            </w:pPr>
            <w:r w:rsidRPr="00496865">
              <w:rPr>
                <w:b/>
                <w:bCs/>
                <w:u w:val="single"/>
              </w:rPr>
              <w:t xml:space="preserve">NASA (National Aeronautics and Space Administration)  </w:t>
            </w:r>
          </w:p>
          <w:p w14:paraId="7ED5D2F7" w14:textId="77777777" w:rsidR="00D76A5F" w:rsidRDefault="00D76A5F" w:rsidP="00D76A5F">
            <w:r>
              <w:t>Role: Oversees civil space activities, including satellite operations and orbital debris monitoring.</w:t>
            </w:r>
          </w:p>
          <w:p w14:paraId="6C0B59EB" w14:textId="77777777" w:rsidR="00D76A5F" w:rsidRDefault="00D76A5F" w:rsidP="00D76A5F">
            <w:r>
              <w:t xml:space="preserve">Key Office: The NASA Orbital Debris Program Office (at Johnson Space </w:t>
            </w:r>
            <w:proofErr w:type="spellStart"/>
            <w:r>
              <w:t>Center</w:t>
            </w:r>
            <w:proofErr w:type="spellEnd"/>
            <w:r>
              <w:t>) and the Office of Safety and Mission Assurance would likely be notified for incidents involving debris or NASA assets.</w:t>
            </w:r>
          </w:p>
          <w:p w14:paraId="472B1060" w14:textId="042BC730" w:rsidR="00D76A5F" w:rsidRDefault="00D76A5F" w:rsidP="005A6FF5">
            <w:r>
              <w:t>Contact Point: For emergencies, NASA’s Incident Response teams or the Mission Operations Directorate would coordinate internally.</w:t>
            </w:r>
          </w:p>
        </w:tc>
      </w:tr>
      <w:tr w:rsidR="00D76A5F" w14:paraId="1E476DFA" w14:textId="77777777" w:rsidTr="00496865">
        <w:tc>
          <w:tcPr>
            <w:tcW w:w="10525" w:type="dxa"/>
          </w:tcPr>
          <w:p w14:paraId="398F1755" w14:textId="77777777" w:rsidR="00D76A5F" w:rsidRPr="00496865" w:rsidRDefault="00D76A5F" w:rsidP="00496865">
            <w:pPr>
              <w:rPr>
                <w:b/>
                <w:bCs/>
                <w:u w:val="single"/>
              </w:rPr>
            </w:pPr>
            <w:r w:rsidRPr="00496865">
              <w:rPr>
                <w:b/>
                <w:bCs/>
                <w:u w:val="single"/>
              </w:rPr>
              <w:t xml:space="preserve">U.S. Space Force (USSF) / U.S. Space Command (SPACECOM)  </w:t>
            </w:r>
          </w:p>
          <w:p w14:paraId="417EF132" w14:textId="77777777" w:rsidR="00D76A5F" w:rsidRDefault="00D76A5F" w:rsidP="00D76A5F">
            <w:r>
              <w:t>Role: Manages military space operations and space situational awareness (SSA), including tracking objects in orbit and assessing threats.</w:t>
            </w:r>
          </w:p>
          <w:p w14:paraId="3DF7D26C" w14:textId="77777777" w:rsidR="00D76A5F" w:rsidRDefault="00D76A5F" w:rsidP="00D76A5F">
            <w:r>
              <w:t xml:space="preserve">Key Office: The Space Operations Command (SpOC) or the Combined Space Operations </w:t>
            </w:r>
            <w:proofErr w:type="spellStart"/>
            <w:r>
              <w:t>Center</w:t>
            </w:r>
            <w:proofErr w:type="spellEnd"/>
            <w:r>
              <w:t xml:space="preserve"> (</w:t>
            </w:r>
            <w:proofErr w:type="spellStart"/>
            <w:r>
              <w:t>CSpOC</w:t>
            </w:r>
            <w:proofErr w:type="spellEnd"/>
            <w:r>
              <w:t>) at Vandenberg Space Force Base would be central hubs.</w:t>
            </w:r>
          </w:p>
          <w:p w14:paraId="1D353BE4" w14:textId="1BCC0D09" w:rsidR="00D76A5F" w:rsidRDefault="00D76A5F" w:rsidP="005A6FF5">
            <w:r>
              <w:t xml:space="preserve">Contact Point: The </w:t>
            </w:r>
            <w:proofErr w:type="spellStart"/>
            <w:r>
              <w:t>CSpOC</w:t>
            </w:r>
            <w:proofErr w:type="spellEnd"/>
            <w:r>
              <w:t xml:space="preserve"> maintains a 24/7 watch and would likely be the first military point of contact for an urgent incident.</w:t>
            </w:r>
          </w:p>
        </w:tc>
      </w:tr>
      <w:tr w:rsidR="00D76A5F" w14:paraId="43012D72" w14:textId="77777777" w:rsidTr="00496865">
        <w:tc>
          <w:tcPr>
            <w:tcW w:w="10525" w:type="dxa"/>
          </w:tcPr>
          <w:p w14:paraId="15293922" w14:textId="77777777" w:rsidR="00D76A5F" w:rsidRPr="00496865" w:rsidRDefault="00D76A5F" w:rsidP="00496865">
            <w:pPr>
              <w:rPr>
                <w:b/>
                <w:bCs/>
                <w:u w:val="single"/>
              </w:rPr>
            </w:pPr>
            <w:r w:rsidRPr="00496865">
              <w:rPr>
                <w:b/>
                <w:bCs/>
                <w:u w:val="single"/>
              </w:rPr>
              <w:t xml:space="preserve">Federal Aviation Administration (FAA)  </w:t>
            </w:r>
          </w:p>
          <w:p w14:paraId="69819821" w14:textId="77777777" w:rsidR="00D76A5F" w:rsidRDefault="00D76A5F" w:rsidP="00D76A5F">
            <w:r>
              <w:t xml:space="preserve">Role: Regulates commercial space launches and </w:t>
            </w:r>
            <w:proofErr w:type="spellStart"/>
            <w:r>
              <w:t>reentries</w:t>
            </w:r>
            <w:proofErr w:type="spellEnd"/>
            <w:r>
              <w:t>, so it would be involved if the incident involves a commercial operator.</w:t>
            </w:r>
          </w:p>
          <w:p w14:paraId="3552C29F" w14:textId="77711140" w:rsidR="00D76A5F" w:rsidRDefault="00D76A5F" w:rsidP="005A6FF5">
            <w:r>
              <w:t>Key Office: The Office of Commercial Space Transportation (AST).</w:t>
            </w:r>
          </w:p>
        </w:tc>
      </w:tr>
      <w:tr w:rsidR="00D76A5F" w14:paraId="64223437" w14:textId="77777777" w:rsidTr="00496865">
        <w:tc>
          <w:tcPr>
            <w:tcW w:w="10525" w:type="dxa"/>
          </w:tcPr>
          <w:p w14:paraId="100896F6" w14:textId="77777777" w:rsidR="00D76A5F" w:rsidRPr="00496865" w:rsidRDefault="00D76A5F" w:rsidP="00496865">
            <w:pPr>
              <w:rPr>
                <w:b/>
                <w:bCs/>
                <w:u w:val="single"/>
              </w:rPr>
            </w:pPr>
            <w:r w:rsidRPr="00496865">
              <w:rPr>
                <w:b/>
                <w:bCs/>
                <w:u w:val="single"/>
              </w:rPr>
              <w:t xml:space="preserve">National Oceanic and Atmospheric Administration (NOAA)  </w:t>
            </w:r>
          </w:p>
          <w:p w14:paraId="34940CD2" w14:textId="77777777" w:rsidR="00D76A5F" w:rsidRDefault="00D76A5F" w:rsidP="00D76A5F">
            <w:r>
              <w:t>Role: Manages weather and environmental satellites; relevant if an incident affects these assets.</w:t>
            </w:r>
          </w:p>
          <w:p w14:paraId="1045E300" w14:textId="5BA55353" w:rsidR="00D76A5F" w:rsidRDefault="00D76A5F" w:rsidP="00D76A5F">
            <w:r>
              <w:t>Key Office: The National Environmental Satellite, Data, and Information Service (NESDIS).</w:t>
            </w:r>
          </w:p>
        </w:tc>
      </w:tr>
      <w:tr w:rsidR="00D76A5F" w14:paraId="0B5B146B" w14:textId="77777777" w:rsidTr="00496865">
        <w:tc>
          <w:tcPr>
            <w:tcW w:w="10525" w:type="dxa"/>
          </w:tcPr>
          <w:p w14:paraId="402AF45C" w14:textId="77777777" w:rsidR="00D76A5F" w:rsidRPr="00496865" w:rsidRDefault="00D76A5F" w:rsidP="00496865">
            <w:pPr>
              <w:rPr>
                <w:b/>
                <w:bCs/>
                <w:u w:val="single"/>
              </w:rPr>
            </w:pPr>
            <w:r w:rsidRPr="00496865">
              <w:rPr>
                <w:b/>
                <w:bCs/>
                <w:u w:val="single"/>
              </w:rPr>
              <w:t xml:space="preserve">Department of </w:t>
            </w:r>
            <w:proofErr w:type="spellStart"/>
            <w:r w:rsidRPr="00496865">
              <w:rPr>
                <w:b/>
                <w:bCs/>
                <w:u w:val="single"/>
              </w:rPr>
              <w:t>Defense</w:t>
            </w:r>
            <w:proofErr w:type="spellEnd"/>
            <w:r w:rsidRPr="00496865">
              <w:rPr>
                <w:b/>
                <w:bCs/>
                <w:u w:val="single"/>
              </w:rPr>
              <w:t xml:space="preserve"> (DoD)  </w:t>
            </w:r>
          </w:p>
          <w:p w14:paraId="4AED3CB2" w14:textId="77777777" w:rsidR="00D76A5F" w:rsidRDefault="00D76A5F" w:rsidP="00D76A5F">
            <w:r>
              <w:t xml:space="preserve">Role: Oversees broader </w:t>
            </w:r>
            <w:proofErr w:type="spellStart"/>
            <w:r>
              <w:t>defense</w:t>
            </w:r>
            <w:proofErr w:type="spellEnd"/>
            <w:r>
              <w:t xml:space="preserve"> implications of space incidents, especially those with national security impacts.</w:t>
            </w:r>
          </w:p>
          <w:p w14:paraId="2646F614" w14:textId="56A7998F" w:rsidR="00D76A5F" w:rsidRDefault="00D76A5F" w:rsidP="00D76A5F">
            <w:r>
              <w:t xml:space="preserve">Key Office: The Office of the Secretary of </w:t>
            </w:r>
            <w:proofErr w:type="spellStart"/>
            <w:r>
              <w:t>Defense</w:t>
            </w:r>
            <w:proofErr w:type="spellEnd"/>
            <w:r>
              <w:t xml:space="preserve"> or the Under Secretary of </w:t>
            </w:r>
            <w:proofErr w:type="spellStart"/>
            <w:r>
              <w:t>Defense</w:t>
            </w:r>
            <w:proofErr w:type="spellEnd"/>
            <w:r>
              <w:t xml:space="preserve"> for Intelligence and Security might coordinate higher-level responses.</w:t>
            </w:r>
          </w:p>
        </w:tc>
      </w:tr>
      <w:tr w:rsidR="00D76A5F" w14:paraId="1A2019B5" w14:textId="77777777" w:rsidTr="00496865">
        <w:tc>
          <w:tcPr>
            <w:tcW w:w="10525" w:type="dxa"/>
          </w:tcPr>
          <w:p w14:paraId="4BFC1D07" w14:textId="77777777" w:rsidR="00D76A5F" w:rsidRPr="00496865" w:rsidRDefault="00D76A5F" w:rsidP="00496865">
            <w:pPr>
              <w:rPr>
                <w:b/>
                <w:bCs/>
                <w:u w:val="single"/>
              </w:rPr>
            </w:pPr>
            <w:r w:rsidRPr="00496865">
              <w:rPr>
                <w:b/>
                <w:bCs/>
                <w:u w:val="single"/>
              </w:rPr>
              <w:t xml:space="preserve">National Transportation Safety Board (NTSB)  </w:t>
            </w:r>
          </w:p>
          <w:p w14:paraId="21F27587" w14:textId="77777777" w:rsidR="00D76A5F" w:rsidRDefault="00D76A5F" w:rsidP="00D76A5F">
            <w:r>
              <w:t xml:space="preserve">Role: Investigates commercial space accidents (e.g., launch or </w:t>
            </w:r>
            <w:proofErr w:type="spellStart"/>
            <w:r>
              <w:t>reentry</w:t>
            </w:r>
            <w:proofErr w:type="spellEnd"/>
            <w:r>
              <w:t xml:space="preserve"> mishaps) if they meet certain criteria (e.g., loss of life or significant damage).</w:t>
            </w:r>
          </w:p>
          <w:p w14:paraId="7C8F2234" w14:textId="4FD326AA" w:rsidR="00D76A5F" w:rsidRDefault="00D76A5F" w:rsidP="00D76A5F">
            <w:r>
              <w:t>Contact Point: The Office of Aviation Safety, with its commercial space investigation subpart.</w:t>
            </w:r>
          </w:p>
        </w:tc>
      </w:tr>
      <w:tr w:rsidR="00D76A5F" w14:paraId="59EFE139" w14:textId="77777777" w:rsidTr="00496865">
        <w:tc>
          <w:tcPr>
            <w:tcW w:w="10525" w:type="dxa"/>
          </w:tcPr>
          <w:p w14:paraId="032089CE" w14:textId="77777777" w:rsidR="00D76A5F" w:rsidRPr="00496865" w:rsidRDefault="00D76A5F" w:rsidP="00496865">
            <w:pPr>
              <w:rPr>
                <w:b/>
                <w:bCs/>
                <w:u w:val="single"/>
              </w:rPr>
            </w:pPr>
            <w:r w:rsidRPr="00496865">
              <w:rPr>
                <w:b/>
                <w:bCs/>
                <w:u w:val="single"/>
              </w:rPr>
              <w:t xml:space="preserve">Federal Communications Commission (FCC)  </w:t>
            </w:r>
          </w:p>
          <w:p w14:paraId="144C9B56" w14:textId="404D7C82" w:rsidR="00D76A5F" w:rsidRDefault="00D76A5F" w:rsidP="00D76A5F">
            <w:r>
              <w:t>Role: Regulates satellite communications; involved if an incident disrupts licensed communication satellites.</w:t>
            </w:r>
          </w:p>
        </w:tc>
      </w:tr>
      <w:tr w:rsidR="00D76A5F" w14:paraId="531BB3ED" w14:textId="77777777" w:rsidTr="00496865">
        <w:tc>
          <w:tcPr>
            <w:tcW w:w="10525" w:type="dxa"/>
          </w:tcPr>
          <w:p w14:paraId="68D26888" w14:textId="77777777" w:rsidR="00D76A5F" w:rsidRPr="00496865" w:rsidRDefault="00D76A5F" w:rsidP="00496865">
            <w:pPr>
              <w:rPr>
                <w:b/>
                <w:bCs/>
                <w:u w:val="single"/>
              </w:rPr>
            </w:pPr>
            <w:r w:rsidRPr="00496865">
              <w:rPr>
                <w:b/>
                <w:bCs/>
                <w:u w:val="single"/>
              </w:rPr>
              <w:t xml:space="preserve">International Partners  </w:t>
            </w:r>
          </w:p>
          <w:p w14:paraId="6B0116A6" w14:textId="77777777" w:rsidR="00D76A5F" w:rsidRDefault="00D76A5F" w:rsidP="00D76A5F">
            <w:r>
              <w:t>Inter-Agency Space Debris Coordination Committee (IADC): A forum including NASA, ESA (European Space Agency), Roscosmos, and others, which might be notified for debris-related incidents.</w:t>
            </w:r>
          </w:p>
          <w:p w14:paraId="588A779D" w14:textId="3A877EE6" w:rsidR="00D76A5F" w:rsidRDefault="00D76A5F" w:rsidP="00D76A5F">
            <w:r>
              <w:t>United Nations Office for Outer Space Affairs (UNOOSA): Could be informed for incidents with international legal implications (e.g., under the Outer Space Treaty).</w:t>
            </w:r>
          </w:p>
        </w:tc>
      </w:tr>
      <w:tr w:rsidR="00D76A5F" w14:paraId="7BAC9009" w14:textId="77777777" w:rsidTr="00496865">
        <w:tc>
          <w:tcPr>
            <w:tcW w:w="10525" w:type="dxa"/>
          </w:tcPr>
          <w:p w14:paraId="261E9624" w14:textId="77777777" w:rsidR="00D76A5F" w:rsidRPr="00496865" w:rsidRDefault="00D76A5F" w:rsidP="00496865">
            <w:pPr>
              <w:rPr>
                <w:b/>
                <w:bCs/>
                <w:u w:val="single"/>
              </w:rPr>
            </w:pPr>
            <w:r w:rsidRPr="00496865">
              <w:rPr>
                <w:b/>
                <w:bCs/>
                <w:u w:val="single"/>
              </w:rPr>
              <w:t xml:space="preserve">Commercial Operators  </w:t>
            </w:r>
          </w:p>
          <w:p w14:paraId="0D8D2AB8" w14:textId="4015B91B" w:rsidR="00D76A5F" w:rsidRDefault="00D76A5F" w:rsidP="00D76A5F">
            <w:r>
              <w:t>Companies like SpaceX, OneWeb, or Planet Labs might be directly involved or informed if their assets are affected, typically through their liaison with the FAA or FCC.</w:t>
            </w:r>
          </w:p>
        </w:tc>
      </w:tr>
    </w:tbl>
    <w:p w14:paraId="1879572B" w14:textId="77777777" w:rsidR="00D76A5F" w:rsidRDefault="00D76A5F" w:rsidP="005A6FF5"/>
    <w:p w14:paraId="02D17F9F" w14:textId="77777777" w:rsidR="005A6FF5" w:rsidRDefault="005A6FF5" w:rsidP="005A6FF5"/>
    <w:p w14:paraId="3A19AE5C" w14:textId="77777777" w:rsidR="005A6FF5" w:rsidRDefault="005A6FF5" w:rsidP="005A6FF5">
      <w:pPr>
        <w:pStyle w:val="Heading3"/>
      </w:pPr>
      <w:r>
        <w:lastRenderedPageBreak/>
        <w:t>Defined Standards and Processes</w:t>
      </w:r>
    </w:p>
    <w:p w14:paraId="2AD64164" w14:textId="77777777" w:rsidR="005A6FF5" w:rsidRDefault="005A6FF5" w:rsidP="005A6FF5">
      <w:r>
        <w:t>While there’s no single, universal "urgent space incident notification process" publicly detailed across all agencies, several frameworks and practices provide structure:</w:t>
      </w:r>
    </w:p>
    <w:p w14:paraId="0642D0BA" w14:textId="77777777" w:rsidR="005A6FF5" w:rsidRPr="002E51C2" w:rsidRDefault="005A6FF5" w:rsidP="005A6FF5">
      <w:pPr>
        <w:pStyle w:val="ListParagraph"/>
        <w:numPr>
          <w:ilvl w:val="0"/>
          <w:numId w:val="5"/>
        </w:numPr>
        <w:rPr>
          <w:b/>
          <w:bCs/>
        </w:rPr>
      </w:pPr>
      <w:r w:rsidRPr="002E51C2">
        <w:rPr>
          <w:b/>
          <w:bCs/>
        </w:rPr>
        <w:t xml:space="preserve">NASA Mishap Reporting and Investigation (NPR 8621.1)  </w:t>
      </w:r>
    </w:p>
    <w:p w14:paraId="6ACBEA3D" w14:textId="64FB0632" w:rsidR="005A6FF5" w:rsidRDefault="005A6FF5" w:rsidP="002E51C2">
      <w:pPr>
        <w:pStyle w:val="ListParagraph"/>
        <w:numPr>
          <w:ilvl w:val="1"/>
          <w:numId w:val="5"/>
        </w:numPr>
      </w:pPr>
      <w:r>
        <w:t xml:space="preserve">NASA has a detailed process for reporting and investigating mishaps, including space incidents. For urgent events, immediate notification is required to the NASA </w:t>
      </w:r>
      <w:proofErr w:type="spellStart"/>
      <w:r>
        <w:t>Center</w:t>
      </w:r>
      <w:proofErr w:type="spellEnd"/>
      <w:r>
        <w:t xml:space="preserve"> Director and the Office of Safety and Mission Assurance. High-visibility incidents (e.g., those with public or media interest) trigger a standing Mishap Investigation Board.</w:t>
      </w:r>
    </w:p>
    <w:p w14:paraId="3515E9A8" w14:textId="0D29A46D" w:rsidR="005A6FF5" w:rsidRPr="002E51C2" w:rsidRDefault="005A6FF5" w:rsidP="005A6FF5">
      <w:pPr>
        <w:pStyle w:val="ListParagraph"/>
        <w:numPr>
          <w:ilvl w:val="0"/>
          <w:numId w:val="5"/>
        </w:numPr>
        <w:rPr>
          <w:b/>
          <w:bCs/>
        </w:rPr>
      </w:pPr>
      <w:r w:rsidRPr="002E51C2">
        <w:rPr>
          <w:b/>
          <w:bCs/>
        </w:rPr>
        <w:t xml:space="preserve">U.S. Space Command’s Space Situational Awareness (SSA) Sharing Program  </w:t>
      </w:r>
    </w:p>
    <w:p w14:paraId="78975D49" w14:textId="77777777" w:rsidR="005A6FF5" w:rsidRDefault="005A6FF5" w:rsidP="002E51C2">
      <w:pPr>
        <w:pStyle w:val="ListParagraph"/>
        <w:numPr>
          <w:ilvl w:val="1"/>
          <w:numId w:val="5"/>
        </w:numPr>
      </w:pPr>
      <w:r>
        <w:t xml:space="preserve">SPACECOM tracks over 35,000 objects in orbit and shares data with civil, commercial, and international partners. In an urgent incident (e.g., a predicted collision), the </w:t>
      </w:r>
      <w:proofErr w:type="spellStart"/>
      <w:r>
        <w:t>CSpOC</w:t>
      </w:r>
      <w:proofErr w:type="spellEnd"/>
      <w:r>
        <w:t xml:space="preserve"> issues conjunction warnings and coordinates with affected parties. This isn’t a public "standard" but an operational protocol.</w:t>
      </w:r>
    </w:p>
    <w:p w14:paraId="4E5AC459" w14:textId="1195B188" w:rsidR="005A6FF5" w:rsidRPr="002E51C2" w:rsidRDefault="005A6FF5" w:rsidP="005A6FF5">
      <w:pPr>
        <w:pStyle w:val="ListParagraph"/>
        <w:numPr>
          <w:ilvl w:val="0"/>
          <w:numId w:val="5"/>
        </w:numPr>
        <w:rPr>
          <w:b/>
          <w:bCs/>
        </w:rPr>
      </w:pPr>
      <w:r w:rsidRPr="002E51C2">
        <w:rPr>
          <w:b/>
          <w:bCs/>
        </w:rPr>
        <w:t xml:space="preserve">Inter-Agency Space Debris Coordination Committee (IADC) Guidelines  </w:t>
      </w:r>
    </w:p>
    <w:p w14:paraId="61E2B00E" w14:textId="77777777" w:rsidR="005A6FF5" w:rsidRDefault="005A6FF5" w:rsidP="002E51C2">
      <w:pPr>
        <w:pStyle w:val="ListParagraph"/>
        <w:numPr>
          <w:ilvl w:val="1"/>
          <w:numId w:val="5"/>
        </w:numPr>
      </w:pPr>
      <w:r>
        <w:t>The IADC’s Space Debris Mitigation Guidelines (2007, revised) provide voluntary recommendations for managing debris risks, including post-incident analysis. While not a notification process, it encourages member agencies (e.g., NASA, ESA) to coordinate responses.</w:t>
      </w:r>
    </w:p>
    <w:p w14:paraId="1BBFD15F" w14:textId="36C87045" w:rsidR="005A6FF5" w:rsidRPr="002E51C2" w:rsidRDefault="005A6FF5" w:rsidP="005A6FF5">
      <w:pPr>
        <w:pStyle w:val="ListParagraph"/>
        <w:numPr>
          <w:ilvl w:val="0"/>
          <w:numId w:val="5"/>
        </w:numPr>
        <w:rPr>
          <w:b/>
          <w:bCs/>
        </w:rPr>
      </w:pPr>
      <w:r w:rsidRPr="002E51C2">
        <w:rPr>
          <w:b/>
          <w:bCs/>
        </w:rPr>
        <w:t xml:space="preserve">National Space Policy (U.S.)  </w:t>
      </w:r>
    </w:p>
    <w:p w14:paraId="5088F0B6" w14:textId="77777777" w:rsidR="005A6FF5" w:rsidRDefault="005A6FF5" w:rsidP="002E51C2">
      <w:pPr>
        <w:pStyle w:val="ListParagraph"/>
        <w:numPr>
          <w:ilvl w:val="1"/>
          <w:numId w:val="5"/>
        </w:numPr>
      </w:pPr>
      <w:r>
        <w:t>The 2020 Space Policy Directive emphasizes inter-agency coordination for space traffic management and incident response, tasking the DoD, NASA, and the Department of Commerce (which oversees NOAA) with collaborative roles. Specific contacts aren’t listed, but the policy implies a chain of command through agency heads.</w:t>
      </w:r>
    </w:p>
    <w:p w14:paraId="4DDE53B9" w14:textId="201F45F5" w:rsidR="005A6FF5" w:rsidRDefault="005A6FF5" w:rsidP="005A6FF5">
      <w:pPr>
        <w:pStyle w:val="Heading3"/>
      </w:pPr>
      <w:r>
        <w:t xml:space="preserve">International Frameworks  </w:t>
      </w:r>
    </w:p>
    <w:p w14:paraId="308757FA" w14:textId="77777777" w:rsidR="005A6FF5" w:rsidRDefault="005A6FF5" w:rsidP="005A6FF5">
      <w:r w:rsidRPr="002E51C2">
        <w:rPr>
          <w:b/>
          <w:bCs/>
        </w:rPr>
        <w:t>The</w:t>
      </w:r>
      <w:r>
        <w:t xml:space="preserve"> </w:t>
      </w:r>
      <w:r w:rsidRPr="002E51C2">
        <w:rPr>
          <w:b/>
          <w:bCs/>
        </w:rPr>
        <w:t>Convention on International Liability for Damage Caused by Space Objects</w:t>
      </w:r>
      <w:r>
        <w:t xml:space="preserve"> (1972) requires states to notify others of incidents causing damage, typically via diplomatic channels or UNOOSA.</w:t>
      </w:r>
    </w:p>
    <w:p w14:paraId="653EB6AC" w14:textId="77777777" w:rsidR="005A6FF5" w:rsidRDefault="005A6FF5" w:rsidP="005A6FF5">
      <w:r w:rsidRPr="002E51C2">
        <w:rPr>
          <w:b/>
          <w:bCs/>
        </w:rPr>
        <w:t>The Convention on Early Notification of a Nuclear Accident</w:t>
      </w:r>
      <w:r>
        <w:t xml:space="preserve"> (IAEA-managed) applies if a space incident involves nuclear-powered satellites, with a defined process via the IAEA’s Incident and Emergency Centre.</w:t>
      </w:r>
    </w:p>
    <w:p w14:paraId="31F2D5DA" w14:textId="77777777" w:rsidR="005A6FF5" w:rsidRDefault="005A6FF5" w:rsidP="005A6FF5"/>
    <w:p w14:paraId="4C02DF37" w14:textId="77777777" w:rsidR="005A6FF5" w:rsidRDefault="005A6FF5" w:rsidP="005A6FF5">
      <w:pPr>
        <w:pStyle w:val="Heading3"/>
      </w:pPr>
      <w:r>
        <w:t xml:space="preserve">Commercial Space Incident Response  </w:t>
      </w:r>
    </w:p>
    <w:p w14:paraId="5346CDD6" w14:textId="77777777" w:rsidR="005A6FF5" w:rsidRDefault="005A6FF5" w:rsidP="005A6FF5">
      <w:r>
        <w:t>The NTSB’s Subpart F (proposed 2021) outlines investigation procedures for commercial space mishaps, requiring immediate notification to the NTSB if a launch/</w:t>
      </w:r>
      <w:proofErr w:type="spellStart"/>
      <w:r>
        <w:t>reentry</w:t>
      </w:r>
      <w:proofErr w:type="spellEnd"/>
      <w:r>
        <w:t xml:space="preserve"> incident meets thresholds (e.g., loss of life). Operators must report to the FAA, which may escalate to other agencies.</w:t>
      </w:r>
    </w:p>
    <w:p w14:paraId="253A24B6" w14:textId="77777777" w:rsidR="005A6FF5" w:rsidRDefault="005A6FF5" w:rsidP="005A6FF5"/>
    <w:p w14:paraId="1A5EBAC1" w14:textId="77777777" w:rsidR="002E51C2" w:rsidRDefault="002E51C2">
      <w:pPr>
        <w:rPr>
          <w:rFonts w:eastAsiaTheme="majorEastAsia" w:cstheme="majorBidi"/>
          <w:color w:val="0F4761" w:themeColor="accent1" w:themeShade="BF"/>
          <w:sz w:val="28"/>
          <w:szCs w:val="28"/>
        </w:rPr>
      </w:pPr>
      <w:r>
        <w:br w:type="page"/>
      </w:r>
    </w:p>
    <w:p w14:paraId="6F3D3F52" w14:textId="662E5423" w:rsidR="005A6FF5" w:rsidRDefault="005A6FF5" w:rsidP="005A6FF5">
      <w:pPr>
        <w:pStyle w:val="Heading3"/>
      </w:pPr>
      <w:r>
        <w:lastRenderedPageBreak/>
        <w:t>General Process Overview</w:t>
      </w:r>
    </w:p>
    <w:p w14:paraId="5E537789" w14:textId="77777777" w:rsidR="005A6FF5" w:rsidRDefault="005A6FF5" w:rsidP="005A6FF5">
      <w:r w:rsidRPr="005A6FF5">
        <w:rPr>
          <w:b/>
          <w:bCs/>
        </w:rPr>
        <w:t>Detection:</w:t>
      </w:r>
      <w:r>
        <w:t xml:space="preserve"> An incident (e.g., collision, debris generation) is detected by SSA networks (e.g., USSF’s Space Surveillance Network or ESA’s systems).</w:t>
      </w:r>
    </w:p>
    <w:p w14:paraId="43BDBEDA" w14:textId="25D13188" w:rsidR="005A6FF5" w:rsidRDefault="005A6FF5" w:rsidP="005A6FF5">
      <w:r w:rsidRPr="005A6FF5">
        <w:rPr>
          <w:b/>
          <w:bCs/>
        </w:rPr>
        <w:t>Initial Notification:</w:t>
      </w:r>
      <w:r>
        <w:t xml:space="preserve"> The detecting entity (e.g., </w:t>
      </w:r>
      <w:proofErr w:type="spellStart"/>
      <w:r>
        <w:t>CSpOC</w:t>
      </w:r>
      <w:proofErr w:type="spellEnd"/>
      <w:r>
        <w:t>, NASA) alerts relevant agencies based on the asset involved (military, civil, commercial). This is often immediate for high-risk events.</w:t>
      </w:r>
    </w:p>
    <w:p w14:paraId="42175B24" w14:textId="6565F6C9" w:rsidR="005A6FF5" w:rsidRDefault="005A6FF5" w:rsidP="005A6FF5">
      <w:r w:rsidRPr="005A6FF5">
        <w:rPr>
          <w:b/>
          <w:bCs/>
        </w:rPr>
        <w:t>Assessment:</w:t>
      </w:r>
      <w:r>
        <w:t xml:space="preserve"> Agencies evaluate the incident’s scope (e.g., debris spread, national security implications) and notify additional stakeholders (e.g., DoD, FCC, international partners).</w:t>
      </w:r>
    </w:p>
    <w:p w14:paraId="2F1F4FCF" w14:textId="13B968B2" w:rsidR="005A6FF5" w:rsidRDefault="005A6FF5" w:rsidP="005A6FF5">
      <w:r w:rsidRPr="005A6FF5">
        <w:rPr>
          <w:b/>
          <w:bCs/>
        </w:rPr>
        <w:t>Coordination:</w:t>
      </w:r>
      <w:r>
        <w:t xml:space="preserve"> A lead agency (e.g., NASA for civil, USSF for military) coordinates response, potentially activating investigation boards or mitigation plans.</w:t>
      </w:r>
    </w:p>
    <w:p w14:paraId="5F458BF8" w14:textId="77777777" w:rsidR="005A6FF5" w:rsidRDefault="005A6FF5" w:rsidP="005A6FF5">
      <w:r w:rsidRPr="005A6FF5">
        <w:rPr>
          <w:b/>
          <w:bCs/>
        </w:rPr>
        <w:t>Public Disclosure:</w:t>
      </w:r>
      <w:r>
        <w:t xml:space="preserve"> Agencies like NASA or the NTSB may issue statements, balancing transparency with security concerns.</w:t>
      </w:r>
    </w:p>
    <w:p w14:paraId="0A1785C9" w14:textId="77777777" w:rsidR="005A6FF5" w:rsidRDefault="005A6FF5" w:rsidP="005A6FF5"/>
    <w:p w14:paraId="57B9855F" w14:textId="072F57B4" w:rsidR="005A6FF5" w:rsidRDefault="005A6FF5" w:rsidP="005A6FF5">
      <w:pPr>
        <w:pStyle w:val="Heading3"/>
      </w:pPr>
      <w:r>
        <w:t>Challenges and Gaps</w:t>
      </w:r>
    </w:p>
    <w:p w14:paraId="431DB915" w14:textId="77777777" w:rsidR="005A6FF5" w:rsidRDefault="005A6FF5" w:rsidP="002E51C2">
      <w:pPr>
        <w:pStyle w:val="ListParagraph"/>
        <w:numPr>
          <w:ilvl w:val="0"/>
          <w:numId w:val="6"/>
        </w:numPr>
      </w:pPr>
      <w:r>
        <w:t xml:space="preserve">No Unified List: Contact lists exist within agencies (e.g., NASA’s emergency points, </w:t>
      </w:r>
      <w:proofErr w:type="spellStart"/>
      <w:r>
        <w:t>CSpOC’s</w:t>
      </w:r>
      <w:proofErr w:type="spellEnd"/>
      <w:r>
        <w:t xml:space="preserve"> watch desk), but they’re not centralized or public due to security and operational needs.</w:t>
      </w:r>
    </w:p>
    <w:p w14:paraId="0C7454D8" w14:textId="3E44361C" w:rsidR="005A6FF5" w:rsidRDefault="005A6FF5" w:rsidP="002E51C2">
      <w:pPr>
        <w:pStyle w:val="ListParagraph"/>
        <w:numPr>
          <w:ilvl w:val="0"/>
          <w:numId w:val="6"/>
        </w:numPr>
      </w:pPr>
      <w:r>
        <w:t>Varied Standards: Civil, military, and commercial sectors follow distinct protocols, with overlap but no single standard.</w:t>
      </w:r>
    </w:p>
    <w:p w14:paraId="65E79EB6" w14:textId="77777777" w:rsidR="005A6FF5" w:rsidRDefault="005A6FF5" w:rsidP="002E51C2">
      <w:pPr>
        <w:pStyle w:val="ListParagraph"/>
        <w:numPr>
          <w:ilvl w:val="0"/>
          <w:numId w:val="6"/>
        </w:numPr>
      </w:pPr>
      <w:r>
        <w:t>International Coordination: Processes like IADC or UNOOSA are slower and less defined for urgent scenarios.</w:t>
      </w:r>
    </w:p>
    <w:p w14:paraId="11071D28" w14:textId="01C09E74" w:rsidR="005C0A1A" w:rsidRDefault="005A6FF5" w:rsidP="005A6FF5">
      <w:r>
        <w:cr/>
      </w:r>
    </w:p>
    <w:sectPr w:rsidR="005C0A1A" w:rsidSect="00496865">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16FB2" w14:textId="77777777" w:rsidR="002E51C2" w:rsidRDefault="002E51C2" w:rsidP="002E51C2">
      <w:pPr>
        <w:spacing w:after="0" w:line="240" w:lineRule="auto"/>
      </w:pPr>
      <w:r>
        <w:separator/>
      </w:r>
    </w:p>
  </w:endnote>
  <w:endnote w:type="continuationSeparator" w:id="0">
    <w:p w14:paraId="0C2CEEC6" w14:textId="77777777" w:rsidR="002E51C2" w:rsidRDefault="002E51C2" w:rsidP="002E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116643"/>
      <w:docPartObj>
        <w:docPartGallery w:val="Page Numbers (Bottom of Page)"/>
        <w:docPartUnique/>
      </w:docPartObj>
    </w:sdtPr>
    <w:sdtEndPr>
      <w:rPr>
        <w:noProof/>
      </w:rPr>
    </w:sdtEndPr>
    <w:sdtContent>
      <w:p w14:paraId="0565E57F" w14:textId="011BEA00" w:rsidR="002E51C2" w:rsidRDefault="002E51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4AA203" w14:textId="77777777" w:rsidR="002E51C2" w:rsidRDefault="002E5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37646" w14:textId="77777777" w:rsidR="002E51C2" w:rsidRDefault="002E51C2" w:rsidP="002E51C2">
      <w:pPr>
        <w:spacing w:after="0" w:line="240" w:lineRule="auto"/>
      </w:pPr>
      <w:r>
        <w:separator/>
      </w:r>
    </w:p>
  </w:footnote>
  <w:footnote w:type="continuationSeparator" w:id="0">
    <w:p w14:paraId="5D9C00AD" w14:textId="77777777" w:rsidR="002E51C2" w:rsidRDefault="002E51C2" w:rsidP="002E5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02412"/>
    <w:multiLevelType w:val="multilevel"/>
    <w:tmpl w:val="23D614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F43DF8"/>
    <w:multiLevelType w:val="multilevel"/>
    <w:tmpl w:val="0E44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13061"/>
    <w:multiLevelType w:val="hybridMultilevel"/>
    <w:tmpl w:val="579EB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37976"/>
    <w:multiLevelType w:val="multilevel"/>
    <w:tmpl w:val="DFCE87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AF4B84"/>
    <w:multiLevelType w:val="hybridMultilevel"/>
    <w:tmpl w:val="92427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26128B"/>
    <w:multiLevelType w:val="multilevel"/>
    <w:tmpl w:val="2BB6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3713246">
    <w:abstractNumId w:val="0"/>
  </w:num>
  <w:num w:numId="2" w16cid:durableId="35007272">
    <w:abstractNumId w:val="3"/>
  </w:num>
  <w:num w:numId="3" w16cid:durableId="155195602">
    <w:abstractNumId w:val="5"/>
  </w:num>
  <w:num w:numId="4" w16cid:durableId="1641424884">
    <w:abstractNumId w:val="1"/>
  </w:num>
  <w:num w:numId="5" w16cid:durableId="1690183010">
    <w:abstractNumId w:val="4"/>
  </w:num>
  <w:num w:numId="6" w16cid:durableId="1039551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F5"/>
    <w:rsid w:val="00037224"/>
    <w:rsid w:val="00106719"/>
    <w:rsid w:val="00122413"/>
    <w:rsid w:val="001F671E"/>
    <w:rsid w:val="002E51C2"/>
    <w:rsid w:val="00344574"/>
    <w:rsid w:val="00496865"/>
    <w:rsid w:val="0051799B"/>
    <w:rsid w:val="00525C88"/>
    <w:rsid w:val="005A6FF5"/>
    <w:rsid w:val="005C0A1A"/>
    <w:rsid w:val="005D3234"/>
    <w:rsid w:val="005F72C7"/>
    <w:rsid w:val="00640EE2"/>
    <w:rsid w:val="00AF2485"/>
    <w:rsid w:val="00D76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9226"/>
  <w15:chartTrackingRefBased/>
  <w15:docId w15:val="{D10F40CB-2BE7-483B-AA12-0837E80C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A6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A6F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6F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6F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6F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F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F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F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F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A6F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A6F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F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F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FF5"/>
    <w:rPr>
      <w:rFonts w:eastAsiaTheme="majorEastAsia" w:cstheme="majorBidi"/>
      <w:color w:val="272727" w:themeColor="text1" w:themeTint="D8"/>
    </w:rPr>
  </w:style>
  <w:style w:type="paragraph" w:styleId="Title">
    <w:name w:val="Title"/>
    <w:basedOn w:val="Normal"/>
    <w:next w:val="Normal"/>
    <w:link w:val="TitleChar"/>
    <w:uiPriority w:val="10"/>
    <w:qFormat/>
    <w:rsid w:val="005A6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F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FF5"/>
    <w:pPr>
      <w:spacing w:before="160"/>
      <w:jc w:val="center"/>
    </w:pPr>
    <w:rPr>
      <w:i/>
      <w:iCs/>
      <w:color w:val="404040" w:themeColor="text1" w:themeTint="BF"/>
    </w:rPr>
  </w:style>
  <w:style w:type="character" w:customStyle="1" w:styleId="QuoteChar">
    <w:name w:val="Quote Char"/>
    <w:basedOn w:val="DefaultParagraphFont"/>
    <w:link w:val="Quote"/>
    <w:uiPriority w:val="29"/>
    <w:rsid w:val="005A6FF5"/>
    <w:rPr>
      <w:i/>
      <w:iCs/>
      <w:color w:val="404040" w:themeColor="text1" w:themeTint="BF"/>
    </w:rPr>
  </w:style>
  <w:style w:type="paragraph" w:styleId="ListParagraph">
    <w:name w:val="List Paragraph"/>
    <w:basedOn w:val="Normal"/>
    <w:uiPriority w:val="34"/>
    <w:qFormat/>
    <w:rsid w:val="005A6FF5"/>
    <w:pPr>
      <w:ind w:left="720"/>
      <w:contextualSpacing/>
    </w:pPr>
  </w:style>
  <w:style w:type="character" w:styleId="IntenseEmphasis">
    <w:name w:val="Intense Emphasis"/>
    <w:basedOn w:val="DefaultParagraphFont"/>
    <w:uiPriority w:val="21"/>
    <w:qFormat/>
    <w:rsid w:val="005A6FF5"/>
    <w:rPr>
      <w:i/>
      <w:iCs/>
      <w:color w:val="0F4761" w:themeColor="accent1" w:themeShade="BF"/>
    </w:rPr>
  </w:style>
  <w:style w:type="paragraph" w:styleId="IntenseQuote">
    <w:name w:val="Intense Quote"/>
    <w:basedOn w:val="Normal"/>
    <w:next w:val="Normal"/>
    <w:link w:val="IntenseQuoteChar"/>
    <w:uiPriority w:val="30"/>
    <w:qFormat/>
    <w:rsid w:val="005A6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6FF5"/>
    <w:rPr>
      <w:i/>
      <w:iCs/>
      <w:color w:val="0F4761" w:themeColor="accent1" w:themeShade="BF"/>
    </w:rPr>
  </w:style>
  <w:style w:type="character" w:styleId="IntenseReference">
    <w:name w:val="Intense Reference"/>
    <w:basedOn w:val="DefaultParagraphFont"/>
    <w:uiPriority w:val="32"/>
    <w:qFormat/>
    <w:rsid w:val="005A6FF5"/>
    <w:rPr>
      <w:b/>
      <w:bCs/>
      <w:smallCaps/>
      <w:color w:val="0F4761" w:themeColor="accent1" w:themeShade="BF"/>
      <w:spacing w:val="5"/>
    </w:rPr>
  </w:style>
  <w:style w:type="table" w:styleId="TableGrid">
    <w:name w:val="Table Grid"/>
    <w:basedOn w:val="TableNormal"/>
    <w:uiPriority w:val="39"/>
    <w:rsid w:val="00D76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5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1C2"/>
  </w:style>
  <w:style w:type="paragraph" w:styleId="Footer">
    <w:name w:val="footer"/>
    <w:basedOn w:val="Normal"/>
    <w:link w:val="FooterChar"/>
    <w:uiPriority w:val="99"/>
    <w:unhideWhenUsed/>
    <w:rsid w:val="002E5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5112">
      <w:bodyDiv w:val="1"/>
      <w:marLeft w:val="0"/>
      <w:marRight w:val="0"/>
      <w:marTop w:val="0"/>
      <w:marBottom w:val="0"/>
      <w:divBdr>
        <w:top w:val="none" w:sz="0" w:space="0" w:color="auto"/>
        <w:left w:val="none" w:sz="0" w:space="0" w:color="auto"/>
        <w:bottom w:val="none" w:sz="0" w:space="0" w:color="auto"/>
        <w:right w:val="none" w:sz="0" w:space="0" w:color="auto"/>
      </w:divBdr>
      <w:divsChild>
        <w:div w:id="560555582">
          <w:marLeft w:val="0"/>
          <w:marRight w:val="0"/>
          <w:marTop w:val="0"/>
          <w:marBottom w:val="0"/>
          <w:divBdr>
            <w:top w:val="none" w:sz="0" w:space="0" w:color="auto"/>
            <w:left w:val="none" w:sz="0" w:space="0" w:color="auto"/>
            <w:bottom w:val="none" w:sz="0" w:space="0" w:color="auto"/>
            <w:right w:val="none" w:sz="0" w:space="0" w:color="auto"/>
          </w:divBdr>
          <w:divsChild>
            <w:div w:id="974410050">
              <w:marLeft w:val="0"/>
              <w:marRight w:val="0"/>
              <w:marTop w:val="312"/>
              <w:marBottom w:val="144"/>
              <w:divBdr>
                <w:top w:val="single" w:sz="2" w:space="0" w:color="000000"/>
                <w:left w:val="single" w:sz="2" w:space="0" w:color="000000"/>
                <w:bottom w:val="single" w:sz="2" w:space="0" w:color="000000"/>
                <w:right w:val="single" w:sz="2" w:space="0" w:color="000000"/>
              </w:divBdr>
            </w:div>
            <w:div w:id="69741535">
              <w:marLeft w:val="0"/>
              <w:marRight w:val="0"/>
              <w:marTop w:val="0"/>
              <w:marBottom w:val="0"/>
              <w:divBdr>
                <w:top w:val="single" w:sz="2" w:space="0" w:color="000000"/>
                <w:left w:val="single" w:sz="2" w:space="0" w:color="000000"/>
                <w:bottom w:val="single" w:sz="2" w:space="0" w:color="000000"/>
                <w:right w:val="single" w:sz="2" w:space="0" w:color="000000"/>
              </w:divBdr>
            </w:div>
            <w:div w:id="65035183">
              <w:marLeft w:val="0"/>
              <w:marRight w:val="0"/>
              <w:marTop w:val="0"/>
              <w:marBottom w:val="0"/>
              <w:divBdr>
                <w:top w:val="single" w:sz="2" w:space="0" w:color="000000"/>
                <w:left w:val="single" w:sz="2" w:space="0" w:color="000000"/>
                <w:bottom w:val="single" w:sz="2" w:space="0" w:color="000000"/>
                <w:right w:val="single" w:sz="2" w:space="0" w:color="000000"/>
              </w:divBdr>
            </w:div>
            <w:div w:id="1739984697">
              <w:marLeft w:val="0"/>
              <w:marRight w:val="0"/>
              <w:marTop w:val="0"/>
              <w:marBottom w:val="0"/>
              <w:divBdr>
                <w:top w:val="single" w:sz="2" w:space="0" w:color="000000"/>
                <w:left w:val="single" w:sz="2" w:space="0" w:color="000000"/>
                <w:bottom w:val="single" w:sz="2" w:space="0" w:color="000000"/>
                <w:right w:val="single" w:sz="2" w:space="0" w:color="000000"/>
              </w:divBdr>
            </w:div>
            <w:div w:id="145050732">
              <w:marLeft w:val="0"/>
              <w:marRight w:val="0"/>
              <w:marTop w:val="0"/>
              <w:marBottom w:val="0"/>
              <w:divBdr>
                <w:top w:val="single" w:sz="2" w:space="0" w:color="000000"/>
                <w:left w:val="single" w:sz="2" w:space="0" w:color="000000"/>
                <w:bottom w:val="single" w:sz="2" w:space="0" w:color="000000"/>
                <w:right w:val="single" w:sz="2" w:space="0" w:color="000000"/>
              </w:divBdr>
            </w:div>
            <w:div w:id="1570773616">
              <w:marLeft w:val="0"/>
              <w:marRight w:val="0"/>
              <w:marTop w:val="0"/>
              <w:marBottom w:val="0"/>
              <w:divBdr>
                <w:top w:val="single" w:sz="2" w:space="0" w:color="000000"/>
                <w:left w:val="single" w:sz="2" w:space="0" w:color="000000"/>
                <w:bottom w:val="single" w:sz="2" w:space="0" w:color="000000"/>
                <w:right w:val="single" w:sz="2" w:space="0" w:color="000000"/>
              </w:divBdr>
            </w:div>
            <w:div w:id="993293972">
              <w:marLeft w:val="0"/>
              <w:marRight w:val="0"/>
              <w:marTop w:val="0"/>
              <w:marBottom w:val="0"/>
              <w:divBdr>
                <w:top w:val="single" w:sz="2" w:space="0" w:color="000000"/>
                <w:left w:val="single" w:sz="2" w:space="0" w:color="000000"/>
                <w:bottom w:val="single" w:sz="2" w:space="0" w:color="000000"/>
                <w:right w:val="single" w:sz="2" w:space="0" w:color="000000"/>
              </w:divBdr>
            </w:div>
            <w:div w:id="915480128">
              <w:marLeft w:val="0"/>
              <w:marRight w:val="0"/>
              <w:marTop w:val="0"/>
              <w:marBottom w:val="0"/>
              <w:divBdr>
                <w:top w:val="single" w:sz="2" w:space="0" w:color="000000"/>
                <w:left w:val="single" w:sz="2" w:space="0" w:color="000000"/>
                <w:bottom w:val="single" w:sz="2" w:space="0" w:color="000000"/>
                <w:right w:val="single" w:sz="2" w:space="0" w:color="000000"/>
              </w:divBdr>
            </w:div>
            <w:div w:id="318651320">
              <w:marLeft w:val="0"/>
              <w:marRight w:val="0"/>
              <w:marTop w:val="0"/>
              <w:marBottom w:val="0"/>
              <w:divBdr>
                <w:top w:val="single" w:sz="2" w:space="0" w:color="000000"/>
                <w:left w:val="single" w:sz="2" w:space="0" w:color="000000"/>
                <w:bottom w:val="single" w:sz="2" w:space="0" w:color="000000"/>
                <w:right w:val="single" w:sz="2" w:space="0" w:color="000000"/>
              </w:divBdr>
            </w:div>
            <w:div w:id="534847568">
              <w:marLeft w:val="0"/>
              <w:marRight w:val="0"/>
              <w:marTop w:val="0"/>
              <w:marBottom w:val="0"/>
              <w:divBdr>
                <w:top w:val="single" w:sz="2" w:space="0" w:color="000000"/>
                <w:left w:val="single" w:sz="2" w:space="0" w:color="000000"/>
                <w:bottom w:val="single" w:sz="2" w:space="0" w:color="000000"/>
                <w:right w:val="single" w:sz="2" w:space="0" w:color="000000"/>
              </w:divBdr>
            </w:div>
            <w:div w:id="525679952">
              <w:marLeft w:val="0"/>
              <w:marRight w:val="0"/>
              <w:marTop w:val="0"/>
              <w:marBottom w:val="0"/>
              <w:divBdr>
                <w:top w:val="single" w:sz="2" w:space="0" w:color="000000"/>
                <w:left w:val="single" w:sz="2" w:space="0" w:color="000000"/>
                <w:bottom w:val="single" w:sz="2" w:space="0" w:color="000000"/>
                <w:right w:val="single" w:sz="2" w:space="0" w:color="000000"/>
              </w:divBdr>
            </w:div>
            <w:div w:id="1353148787">
              <w:marLeft w:val="0"/>
              <w:marRight w:val="0"/>
              <w:marTop w:val="0"/>
              <w:marBottom w:val="0"/>
              <w:divBdr>
                <w:top w:val="single" w:sz="2" w:space="0" w:color="000000"/>
                <w:left w:val="single" w:sz="2" w:space="0" w:color="000000"/>
                <w:bottom w:val="single" w:sz="2" w:space="0" w:color="000000"/>
                <w:right w:val="single" w:sz="2" w:space="0" w:color="000000"/>
              </w:divBdr>
            </w:div>
            <w:div w:id="233201595">
              <w:marLeft w:val="0"/>
              <w:marRight w:val="0"/>
              <w:marTop w:val="0"/>
              <w:marBottom w:val="0"/>
              <w:divBdr>
                <w:top w:val="single" w:sz="2" w:space="0" w:color="000000"/>
                <w:left w:val="single" w:sz="2" w:space="0" w:color="000000"/>
                <w:bottom w:val="single" w:sz="2" w:space="0" w:color="000000"/>
                <w:right w:val="single" w:sz="2" w:space="0" w:color="000000"/>
              </w:divBdr>
            </w:div>
            <w:div w:id="847018996">
              <w:marLeft w:val="0"/>
              <w:marRight w:val="0"/>
              <w:marTop w:val="0"/>
              <w:marBottom w:val="0"/>
              <w:divBdr>
                <w:top w:val="single" w:sz="2" w:space="0" w:color="000000"/>
                <w:left w:val="single" w:sz="2" w:space="0" w:color="000000"/>
                <w:bottom w:val="single" w:sz="2" w:space="0" w:color="000000"/>
                <w:right w:val="single" w:sz="2" w:space="0" w:color="000000"/>
              </w:divBdr>
            </w:div>
            <w:div w:id="1566603375">
              <w:marLeft w:val="0"/>
              <w:marRight w:val="0"/>
              <w:marTop w:val="0"/>
              <w:marBottom w:val="0"/>
              <w:divBdr>
                <w:top w:val="single" w:sz="2" w:space="0" w:color="000000"/>
                <w:left w:val="single" w:sz="2" w:space="0" w:color="000000"/>
                <w:bottom w:val="single" w:sz="2" w:space="0" w:color="000000"/>
                <w:right w:val="single" w:sz="2" w:space="0" w:color="000000"/>
              </w:divBdr>
            </w:div>
            <w:div w:id="1594630301">
              <w:marLeft w:val="0"/>
              <w:marRight w:val="0"/>
              <w:marTop w:val="0"/>
              <w:marBottom w:val="0"/>
              <w:divBdr>
                <w:top w:val="single" w:sz="2" w:space="0" w:color="000000"/>
                <w:left w:val="single" w:sz="2" w:space="0" w:color="000000"/>
                <w:bottom w:val="single" w:sz="2" w:space="0" w:color="000000"/>
                <w:right w:val="single" w:sz="2" w:space="0" w:color="000000"/>
              </w:divBdr>
            </w:div>
            <w:div w:id="938414929">
              <w:marLeft w:val="0"/>
              <w:marRight w:val="0"/>
              <w:marTop w:val="0"/>
              <w:marBottom w:val="0"/>
              <w:divBdr>
                <w:top w:val="single" w:sz="2" w:space="0" w:color="000000"/>
                <w:left w:val="single" w:sz="2" w:space="0" w:color="000000"/>
                <w:bottom w:val="single" w:sz="2" w:space="0" w:color="000000"/>
                <w:right w:val="single" w:sz="2" w:space="0" w:color="000000"/>
              </w:divBdr>
            </w:div>
            <w:div w:id="693264025">
              <w:marLeft w:val="0"/>
              <w:marRight w:val="0"/>
              <w:marTop w:val="0"/>
              <w:marBottom w:val="0"/>
              <w:divBdr>
                <w:top w:val="single" w:sz="2" w:space="0" w:color="000000"/>
                <w:left w:val="single" w:sz="2" w:space="0" w:color="000000"/>
                <w:bottom w:val="single" w:sz="2" w:space="0" w:color="000000"/>
                <w:right w:val="single" w:sz="2" w:space="0" w:color="000000"/>
              </w:divBdr>
            </w:div>
            <w:div w:id="1216429734">
              <w:marLeft w:val="0"/>
              <w:marRight w:val="0"/>
              <w:marTop w:val="0"/>
              <w:marBottom w:val="0"/>
              <w:divBdr>
                <w:top w:val="single" w:sz="2" w:space="0" w:color="000000"/>
                <w:left w:val="single" w:sz="2" w:space="0" w:color="000000"/>
                <w:bottom w:val="single" w:sz="2" w:space="0" w:color="000000"/>
                <w:right w:val="single" w:sz="2" w:space="0" w:color="000000"/>
              </w:divBdr>
            </w:div>
            <w:div w:id="1995256170">
              <w:marLeft w:val="0"/>
              <w:marRight w:val="0"/>
              <w:marTop w:val="0"/>
              <w:marBottom w:val="0"/>
              <w:divBdr>
                <w:top w:val="single" w:sz="2" w:space="0" w:color="000000"/>
                <w:left w:val="single" w:sz="2" w:space="0" w:color="000000"/>
                <w:bottom w:val="single" w:sz="2" w:space="0" w:color="000000"/>
                <w:right w:val="single" w:sz="2" w:space="0" w:color="000000"/>
              </w:divBdr>
            </w:div>
            <w:div w:id="957369402">
              <w:marLeft w:val="0"/>
              <w:marRight w:val="0"/>
              <w:marTop w:val="0"/>
              <w:marBottom w:val="0"/>
              <w:divBdr>
                <w:top w:val="single" w:sz="2" w:space="0" w:color="000000"/>
                <w:left w:val="single" w:sz="2" w:space="0" w:color="000000"/>
                <w:bottom w:val="single" w:sz="2" w:space="0" w:color="000000"/>
                <w:right w:val="single" w:sz="2" w:space="0" w:color="000000"/>
              </w:divBdr>
            </w:div>
            <w:div w:id="1643660038">
              <w:marLeft w:val="0"/>
              <w:marRight w:val="0"/>
              <w:marTop w:val="0"/>
              <w:marBottom w:val="0"/>
              <w:divBdr>
                <w:top w:val="single" w:sz="2" w:space="0" w:color="000000"/>
                <w:left w:val="single" w:sz="2" w:space="0" w:color="000000"/>
                <w:bottom w:val="single" w:sz="2" w:space="0" w:color="000000"/>
                <w:right w:val="single" w:sz="2" w:space="0" w:color="000000"/>
              </w:divBdr>
            </w:div>
            <w:div w:id="1728920696">
              <w:marLeft w:val="0"/>
              <w:marRight w:val="0"/>
              <w:marTop w:val="0"/>
              <w:marBottom w:val="0"/>
              <w:divBdr>
                <w:top w:val="single" w:sz="2" w:space="0" w:color="000000"/>
                <w:left w:val="single" w:sz="2" w:space="0" w:color="000000"/>
                <w:bottom w:val="single" w:sz="2" w:space="0" w:color="000000"/>
                <w:right w:val="single" w:sz="2" w:space="0" w:color="000000"/>
              </w:divBdr>
            </w:div>
            <w:div w:id="1745643722">
              <w:marLeft w:val="0"/>
              <w:marRight w:val="0"/>
              <w:marTop w:val="0"/>
              <w:marBottom w:val="0"/>
              <w:divBdr>
                <w:top w:val="single" w:sz="2" w:space="0" w:color="000000"/>
                <w:left w:val="single" w:sz="2" w:space="0" w:color="000000"/>
                <w:bottom w:val="single" w:sz="2" w:space="0" w:color="000000"/>
                <w:right w:val="single" w:sz="2" w:space="0" w:color="000000"/>
              </w:divBdr>
            </w:div>
            <w:div w:id="1148009222">
              <w:marLeft w:val="0"/>
              <w:marRight w:val="0"/>
              <w:marTop w:val="0"/>
              <w:marBottom w:val="0"/>
              <w:divBdr>
                <w:top w:val="single" w:sz="2" w:space="0" w:color="000000"/>
                <w:left w:val="single" w:sz="2" w:space="0" w:color="000000"/>
                <w:bottom w:val="single" w:sz="2" w:space="0" w:color="000000"/>
                <w:right w:val="single" w:sz="2" w:space="0" w:color="000000"/>
              </w:divBdr>
            </w:div>
            <w:div w:id="1640762406">
              <w:marLeft w:val="0"/>
              <w:marRight w:val="0"/>
              <w:marTop w:val="0"/>
              <w:marBottom w:val="0"/>
              <w:divBdr>
                <w:top w:val="single" w:sz="2" w:space="0" w:color="000000"/>
                <w:left w:val="single" w:sz="2" w:space="0" w:color="000000"/>
                <w:bottom w:val="single" w:sz="2" w:space="0" w:color="000000"/>
                <w:right w:val="single" w:sz="2" w:space="0" w:color="000000"/>
              </w:divBdr>
            </w:div>
            <w:div w:id="612324819">
              <w:marLeft w:val="0"/>
              <w:marRight w:val="0"/>
              <w:marTop w:val="0"/>
              <w:marBottom w:val="0"/>
              <w:divBdr>
                <w:top w:val="single" w:sz="2" w:space="0" w:color="000000"/>
                <w:left w:val="single" w:sz="2" w:space="0" w:color="000000"/>
                <w:bottom w:val="single" w:sz="2" w:space="0" w:color="000000"/>
                <w:right w:val="single" w:sz="2" w:space="0" w:color="000000"/>
              </w:divBdr>
            </w:div>
            <w:div w:id="734545263">
              <w:marLeft w:val="0"/>
              <w:marRight w:val="0"/>
              <w:marTop w:val="0"/>
              <w:marBottom w:val="0"/>
              <w:divBdr>
                <w:top w:val="single" w:sz="2" w:space="0" w:color="000000"/>
                <w:left w:val="single" w:sz="2" w:space="0" w:color="000000"/>
                <w:bottom w:val="single" w:sz="2" w:space="0" w:color="000000"/>
                <w:right w:val="single" w:sz="2" w:space="0" w:color="000000"/>
              </w:divBdr>
            </w:div>
            <w:div w:id="1616591657">
              <w:marLeft w:val="0"/>
              <w:marRight w:val="0"/>
              <w:marTop w:val="0"/>
              <w:marBottom w:val="0"/>
              <w:divBdr>
                <w:top w:val="single" w:sz="2" w:space="0" w:color="000000"/>
                <w:left w:val="single" w:sz="2" w:space="0" w:color="000000"/>
                <w:bottom w:val="single" w:sz="2" w:space="0" w:color="000000"/>
                <w:right w:val="single" w:sz="2" w:space="0" w:color="000000"/>
              </w:divBdr>
            </w:div>
            <w:div w:id="819417978">
              <w:marLeft w:val="0"/>
              <w:marRight w:val="0"/>
              <w:marTop w:val="312"/>
              <w:marBottom w:val="144"/>
              <w:divBdr>
                <w:top w:val="single" w:sz="2" w:space="0" w:color="000000"/>
                <w:left w:val="single" w:sz="2" w:space="0" w:color="000000"/>
                <w:bottom w:val="single" w:sz="2" w:space="0" w:color="000000"/>
                <w:right w:val="single" w:sz="2" w:space="0" w:color="000000"/>
              </w:divBdr>
            </w:div>
            <w:div w:id="187448159">
              <w:marLeft w:val="0"/>
              <w:marRight w:val="0"/>
              <w:marTop w:val="0"/>
              <w:marBottom w:val="0"/>
              <w:divBdr>
                <w:top w:val="single" w:sz="2" w:space="0" w:color="000000"/>
                <w:left w:val="single" w:sz="2" w:space="0" w:color="000000"/>
                <w:bottom w:val="single" w:sz="2" w:space="0" w:color="000000"/>
                <w:right w:val="single" w:sz="2" w:space="0" w:color="000000"/>
              </w:divBdr>
            </w:div>
            <w:div w:id="1806586810">
              <w:marLeft w:val="0"/>
              <w:marRight w:val="0"/>
              <w:marTop w:val="0"/>
              <w:marBottom w:val="0"/>
              <w:divBdr>
                <w:top w:val="single" w:sz="2" w:space="0" w:color="000000"/>
                <w:left w:val="single" w:sz="2" w:space="0" w:color="000000"/>
                <w:bottom w:val="single" w:sz="2" w:space="0" w:color="000000"/>
                <w:right w:val="single" w:sz="2" w:space="0" w:color="000000"/>
              </w:divBdr>
            </w:div>
            <w:div w:id="588348832">
              <w:marLeft w:val="0"/>
              <w:marRight w:val="0"/>
              <w:marTop w:val="0"/>
              <w:marBottom w:val="0"/>
              <w:divBdr>
                <w:top w:val="single" w:sz="2" w:space="0" w:color="000000"/>
                <w:left w:val="single" w:sz="2" w:space="0" w:color="000000"/>
                <w:bottom w:val="single" w:sz="2" w:space="0" w:color="000000"/>
                <w:right w:val="single" w:sz="2" w:space="0" w:color="000000"/>
              </w:divBdr>
            </w:div>
            <w:div w:id="343867750">
              <w:marLeft w:val="0"/>
              <w:marRight w:val="0"/>
              <w:marTop w:val="0"/>
              <w:marBottom w:val="0"/>
              <w:divBdr>
                <w:top w:val="single" w:sz="2" w:space="0" w:color="000000"/>
                <w:left w:val="single" w:sz="2" w:space="0" w:color="000000"/>
                <w:bottom w:val="single" w:sz="2" w:space="0" w:color="000000"/>
                <w:right w:val="single" w:sz="2" w:space="0" w:color="000000"/>
              </w:divBdr>
            </w:div>
            <w:div w:id="993603474">
              <w:marLeft w:val="0"/>
              <w:marRight w:val="0"/>
              <w:marTop w:val="0"/>
              <w:marBottom w:val="0"/>
              <w:divBdr>
                <w:top w:val="single" w:sz="2" w:space="0" w:color="000000"/>
                <w:left w:val="single" w:sz="2" w:space="0" w:color="000000"/>
                <w:bottom w:val="single" w:sz="2" w:space="0" w:color="000000"/>
                <w:right w:val="single" w:sz="2" w:space="0" w:color="000000"/>
              </w:divBdr>
            </w:div>
            <w:div w:id="15422683">
              <w:marLeft w:val="0"/>
              <w:marRight w:val="0"/>
              <w:marTop w:val="0"/>
              <w:marBottom w:val="0"/>
              <w:divBdr>
                <w:top w:val="single" w:sz="2" w:space="0" w:color="000000"/>
                <w:left w:val="single" w:sz="2" w:space="0" w:color="000000"/>
                <w:bottom w:val="single" w:sz="2" w:space="0" w:color="000000"/>
                <w:right w:val="single" w:sz="2" w:space="0" w:color="000000"/>
              </w:divBdr>
            </w:div>
            <w:div w:id="1834105563">
              <w:marLeft w:val="0"/>
              <w:marRight w:val="0"/>
              <w:marTop w:val="0"/>
              <w:marBottom w:val="0"/>
              <w:divBdr>
                <w:top w:val="single" w:sz="2" w:space="0" w:color="000000"/>
                <w:left w:val="single" w:sz="2" w:space="0" w:color="000000"/>
                <w:bottom w:val="single" w:sz="2" w:space="0" w:color="000000"/>
                <w:right w:val="single" w:sz="2" w:space="0" w:color="000000"/>
              </w:divBdr>
            </w:div>
            <w:div w:id="266620300">
              <w:marLeft w:val="0"/>
              <w:marRight w:val="0"/>
              <w:marTop w:val="0"/>
              <w:marBottom w:val="0"/>
              <w:divBdr>
                <w:top w:val="single" w:sz="2" w:space="0" w:color="000000"/>
                <w:left w:val="single" w:sz="2" w:space="0" w:color="000000"/>
                <w:bottom w:val="single" w:sz="2" w:space="0" w:color="000000"/>
                <w:right w:val="single" w:sz="2" w:space="0" w:color="000000"/>
              </w:divBdr>
            </w:div>
            <w:div w:id="333580132">
              <w:marLeft w:val="0"/>
              <w:marRight w:val="0"/>
              <w:marTop w:val="0"/>
              <w:marBottom w:val="0"/>
              <w:divBdr>
                <w:top w:val="single" w:sz="2" w:space="0" w:color="000000"/>
                <w:left w:val="single" w:sz="2" w:space="0" w:color="000000"/>
                <w:bottom w:val="single" w:sz="2" w:space="0" w:color="000000"/>
                <w:right w:val="single" w:sz="2" w:space="0" w:color="000000"/>
              </w:divBdr>
            </w:div>
            <w:div w:id="355077976">
              <w:marLeft w:val="0"/>
              <w:marRight w:val="0"/>
              <w:marTop w:val="0"/>
              <w:marBottom w:val="0"/>
              <w:divBdr>
                <w:top w:val="single" w:sz="2" w:space="0" w:color="000000"/>
                <w:left w:val="single" w:sz="2" w:space="0" w:color="000000"/>
                <w:bottom w:val="single" w:sz="2" w:space="0" w:color="000000"/>
                <w:right w:val="single" w:sz="2" w:space="0" w:color="000000"/>
              </w:divBdr>
            </w:div>
            <w:div w:id="1068528312">
              <w:marLeft w:val="0"/>
              <w:marRight w:val="0"/>
              <w:marTop w:val="0"/>
              <w:marBottom w:val="0"/>
              <w:divBdr>
                <w:top w:val="single" w:sz="2" w:space="0" w:color="000000"/>
                <w:left w:val="single" w:sz="2" w:space="0" w:color="000000"/>
                <w:bottom w:val="single" w:sz="2" w:space="0" w:color="000000"/>
                <w:right w:val="single" w:sz="2" w:space="0" w:color="000000"/>
              </w:divBdr>
            </w:div>
            <w:div w:id="516847038">
              <w:marLeft w:val="0"/>
              <w:marRight w:val="0"/>
              <w:marTop w:val="0"/>
              <w:marBottom w:val="0"/>
              <w:divBdr>
                <w:top w:val="single" w:sz="2" w:space="0" w:color="000000"/>
                <w:left w:val="single" w:sz="2" w:space="0" w:color="000000"/>
                <w:bottom w:val="single" w:sz="2" w:space="0" w:color="000000"/>
                <w:right w:val="single" w:sz="2" w:space="0" w:color="000000"/>
              </w:divBdr>
            </w:div>
            <w:div w:id="735930225">
              <w:marLeft w:val="0"/>
              <w:marRight w:val="0"/>
              <w:marTop w:val="0"/>
              <w:marBottom w:val="0"/>
              <w:divBdr>
                <w:top w:val="single" w:sz="2" w:space="0" w:color="000000"/>
                <w:left w:val="single" w:sz="2" w:space="0" w:color="000000"/>
                <w:bottom w:val="single" w:sz="2" w:space="0" w:color="000000"/>
                <w:right w:val="single" w:sz="2" w:space="0" w:color="000000"/>
              </w:divBdr>
            </w:div>
            <w:div w:id="1869096983">
              <w:marLeft w:val="0"/>
              <w:marRight w:val="0"/>
              <w:marTop w:val="0"/>
              <w:marBottom w:val="0"/>
              <w:divBdr>
                <w:top w:val="single" w:sz="2" w:space="0" w:color="000000"/>
                <w:left w:val="single" w:sz="2" w:space="0" w:color="000000"/>
                <w:bottom w:val="single" w:sz="2" w:space="0" w:color="000000"/>
                <w:right w:val="single" w:sz="2" w:space="0" w:color="000000"/>
              </w:divBdr>
            </w:div>
            <w:div w:id="106705700">
              <w:marLeft w:val="0"/>
              <w:marRight w:val="0"/>
              <w:marTop w:val="312"/>
              <w:marBottom w:val="144"/>
              <w:divBdr>
                <w:top w:val="single" w:sz="2" w:space="0" w:color="000000"/>
                <w:left w:val="single" w:sz="2" w:space="0" w:color="000000"/>
                <w:bottom w:val="single" w:sz="2" w:space="0" w:color="000000"/>
                <w:right w:val="single" w:sz="2" w:space="0" w:color="000000"/>
              </w:divBdr>
            </w:div>
            <w:div w:id="1892381120">
              <w:marLeft w:val="0"/>
              <w:marRight w:val="0"/>
              <w:marTop w:val="0"/>
              <w:marBottom w:val="0"/>
              <w:divBdr>
                <w:top w:val="single" w:sz="2" w:space="0" w:color="000000"/>
                <w:left w:val="single" w:sz="2" w:space="0" w:color="000000"/>
                <w:bottom w:val="single" w:sz="2" w:space="0" w:color="000000"/>
                <w:right w:val="single" w:sz="2" w:space="0" w:color="000000"/>
              </w:divBdr>
            </w:div>
            <w:div w:id="91979581">
              <w:marLeft w:val="0"/>
              <w:marRight w:val="0"/>
              <w:marTop w:val="0"/>
              <w:marBottom w:val="0"/>
              <w:divBdr>
                <w:top w:val="single" w:sz="2" w:space="0" w:color="000000"/>
                <w:left w:val="single" w:sz="2" w:space="0" w:color="000000"/>
                <w:bottom w:val="single" w:sz="2" w:space="0" w:color="000000"/>
                <w:right w:val="single" w:sz="2" w:space="0" w:color="000000"/>
              </w:divBdr>
            </w:div>
            <w:div w:id="135463338">
              <w:marLeft w:val="0"/>
              <w:marRight w:val="0"/>
              <w:marTop w:val="0"/>
              <w:marBottom w:val="0"/>
              <w:divBdr>
                <w:top w:val="single" w:sz="2" w:space="0" w:color="000000"/>
                <w:left w:val="single" w:sz="2" w:space="0" w:color="000000"/>
                <w:bottom w:val="single" w:sz="2" w:space="0" w:color="000000"/>
                <w:right w:val="single" w:sz="2" w:space="0" w:color="000000"/>
              </w:divBdr>
            </w:div>
            <w:div w:id="1889560570">
              <w:marLeft w:val="0"/>
              <w:marRight w:val="0"/>
              <w:marTop w:val="0"/>
              <w:marBottom w:val="0"/>
              <w:divBdr>
                <w:top w:val="single" w:sz="2" w:space="0" w:color="000000"/>
                <w:left w:val="single" w:sz="2" w:space="0" w:color="000000"/>
                <w:bottom w:val="single" w:sz="2" w:space="0" w:color="000000"/>
                <w:right w:val="single" w:sz="2" w:space="0" w:color="000000"/>
              </w:divBdr>
            </w:div>
            <w:div w:id="364984159">
              <w:marLeft w:val="0"/>
              <w:marRight w:val="0"/>
              <w:marTop w:val="0"/>
              <w:marBottom w:val="0"/>
              <w:divBdr>
                <w:top w:val="single" w:sz="2" w:space="0" w:color="000000"/>
                <w:left w:val="single" w:sz="2" w:space="0" w:color="000000"/>
                <w:bottom w:val="single" w:sz="2" w:space="0" w:color="000000"/>
                <w:right w:val="single" w:sz="2" w:space="0" w:color="000000"/>
              </w:divBdr>
            </w:div>
            <w:div w:id="1602954877">
              <w:marLeft w:val="0"/>
              <w:marRight w:val="0"/>
              <w:marTop w:val="312"/>
              <w:marBottom w:val="144"/>
              <w:divBdr>
                <w:top w:val="single" w:sz="2" w:space="0" w:color="000000"/>
                <w:left w:val="single" w:sz="2" w:space="0" w:color="000000"/>
                <w:bottom w:val="single" w:sz="2" w:space="0" w:color="000000"/>
                <w:right w:val="single" w:sz="2" w:space="0" w:color="000000"/>
              </w:divBdr>
            </w:div>
            <w:div w:id="1797259603">
              <w:marLeft w:val="0"/>
              <w:marRight w:val="0"/>
              <w:marTop w:val="0"/>
              <w:marBottom w:val="0"/>
              <w:divBdr>
                <w:top w:val="single" w:sz="2" w:space="0" w:color="000000"/>
                <w:left w:val="single" w:sz="2" w:space="0" w:color="000000"/>
                <w:bottom w:val="single" w:sz="2" w:space="0" w:color="000000"/>
                <w:right w:val="single" w:sz="2" w:space="0" w:color="000000"/>
              </w:divBdr>
            </w:div>
            <w:div w:id="1746756508">
              <w:marLeft w:val="0"/>
              <w:marRight w:val="0"/>
              <w:marTop w:val="0"/>
              <w:marBottom w:val="0"/>
              <w:divBdr>
                <w:top w:val="single" w:sz="2" w:space="0" w:color="000000"/>
                <w:left w:val="single" w:sz="2" w:space="0" w:color="000000"/>
                <w:bottom w:val="single" w:sz="2" w:space="0" w:color="000000"/>
                <w:right w:val="single" w:sz="2" w:space="0" w:color="000000"/>
              </w:divBdr>
            </w:div>
            <w:div w:id="1931156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Lake</dc:creator>
  <cp:keywords/>
  <dc:description/>
  <cp:lastModifiedBy>Brian Peterson</cp:lastModifiedBy>
  <cp:revision>6</cp:revision>
  <dcterms:created xsi:type="dcterms:W3CDTF">2025-03-04T12:39:00Z</dcterms:created>
  <dcterms:modified xsi:type="dcterms:W3CDTF">2025-03-05T05:53:00Z</dcterms:modified>
</cp:coreProperties>
</file>